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introduction"/>
      <w:r>
        <w:t xml:space="preserve">Introduction</w:t>
      </w:r>
      <w:bookmarkEnd w:id="20"/>
    </w:p>
    <w:p>
      <w:pPr>
        <w:pStyle w:val="FirstParagraph"/>
      </w:pPr>
      <w:r>
        <w:t xml:space="preserve">The Bayesian framework is quickly gaining popularity among psychologists and neuroscientists</w:t>
      </w:r>
      <w:r>
        <w:t xml:space="preserve"> </w:t>
      </w:r>
      <w:r>
        <w:t xml:space="preserve">(Andrews &amp; Baguley, 2013)</w:t>
      </w:r>
      <w:r>
        <w:t xml:space="preserve">, for reasons such as flexibility, better accuracy in noisy data and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The reliance on</w:t>
      </w:r>
      <w:r>
        <w:t xml:space="preserve"> </w:t>
      </w:r>
      <w:r>
        <w:rPr>
          <w:i/>
        </w:rPr>
        <w:t xml:space="preserve">p</w:t>
      </w:r>
      <w:r>
        <w:t xml:space="preserve">-values has been criticized for its association with inappropriate inference, and effects can be drastically overestimated, sometimes even in the wrong direction, when estimation is tied to statistical significance in highly variable data</w:t>
      </w:r>
      <w:r>
        <w:t xml:space="preserve"> </w:t>
      </w:r>
      <w:r>
        <w:t xml:space="preserve">(Gelman, 2018)</w:t>
      </w:r>
      <w:r>
        <w:t xml:space="preserve">. Power calculations allow researchers to control the probability of falsely rejecting the null hypothesis, but do not completely solve this problem. For instance, the</w:t>
      </w:r>
      <w:r>
        <w:t xml:space="preserve"> </w:t>
      </w:r>
      <w:r>
        <w:t xml:space="preserve">“</w:t>
      </w:r>
      <w:r>
        <w:t xml:space="preserve">false-alarm probability</w:t>
      </w:r>
      <w:r>
        <w:t xml:space="preserve">”</w:t>
      </w:r>
      <w:r>
        <w:t xml:space="preserve"> </w:t>
      </w:r>
      <w:r>
        <w:t xml:space="preserve">of even very small</w:t>
      </w:r>
      <w:r>
        <w:t xml:space="preserve"> </w:t>
      </w:r>
      <w:r>
        <w:rPr>
          <w:i/>
        </w:rPr>
        <w:t xml:space="preserve">p</w:t>
      </w:r>
      <w:r>
        <w:t xml:space="preserve">-values can be much higher than expected</w:t>
      </w:r>
      <w:r>
        <w:t xml:space="preserve"> </w:t>
      </w:r>
      <w:r>
        <w:t xml:space="preserve">(Nuzzo, 2014)</w:t>
      </w:r>
      <w:r>
        <w:t xml:space="preserve">. In response, there is an increasing belief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1994;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1994; Kirk, 1996)</w:t>
      </w:r>
      <w:r>
        <w:t xml:space="preserve">. This is particularly problematic given that</w:t>
      </w:r>
      <w:r>
        <w:t xml:space="preserve"> </w:t>
      </w:r>
      <w:r>
        <w:rPr>
          <w:i/>
        </w:rPr>
        <w:t xml:space="preserve">p</w:t>
      </w:r>
      <w:r>
        <w:t xml:space="preserve">-values can only be used to reject the null hypothesis and not to accept it as true, because a statistically non-significant result does not mean that there is no difference between groups or no effect of a treatment</w:t>
      </w:r>
      <w:r>
        <w:t xml:space="preserve"> </w:t>
      </w:r>
      <w:r>
        <w:t xml:space="preserve">(Amrhein, Greenland, &amp; McShane, 2019; Wagenmakers, 2007)</w:t>
      </w:r>
      <w:r>
        <w:t xml:space="preserve">.</w:t>
      </w:r>
    </w:p>
    <w:p>
      <w:pPr>
        <w:pStyle w:val="BodyText"/>
      </w:pPr>
      <w:r>
        <w:rPr>
          <w:i/>
        </w:rPr>
        <w:t xml:space="preserve">While significance testing (and its inherent categorical interpretation heuristics) might have its place as a complementary perspective to effect estimation, it does not preclude the fact that improvements are needed. For instance, one possible advance could focus on improving the understanding of the values being used, for instance, through a new, simpler, index. Bayesian inference allows making intuitive probability statements of an effect, as opposed to the less straightforward mathematical definition of the</w:t>
      </w:r>
      <w:r>
        <w:t xml:space="preserve"> </w:t>
      </w:r>
      <w:r>
        <w:t xml:space="preserve">p</w:t>
      </w:r>
      <w:r>
        <w:rPr>
          <w:i/>
        </w:rPr>
        <w:t xml:space="preserve">-value, that contributes to its common misinterpretation</w:t>
      </w:r>
      <w:r>
        <w:t xml:space="preserve">.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rPr>
          <w:i/>
        </w:rPr>
        <w:t xml:space="preserve">Bayesian</w:t>
      </w:r>
      <w:r>
        <w:rPr>
          <w:i/>
        </w:rPr>
        <w:t xml:space="preserve"> </w:t>
      </w:r>
      <w:r>
        <w:rPr>
          <w:i/>
        </w:rPr>
        <w:t xml:space="preserve">“</w:t>
      </w:r>
      <w:r>
        <w:rPr>
          <w:i/>
        </w:rPr>
        <w:t xml:space="preserve">significance</w:t>
      </w:r>
      <w:r>
        <w:rPr>
          <w:i/>
        </w:rPr>
        <w:t xml:space="preserve">”</w:t>
      </w:r>
      <w:r>
        <w:rPr>
          <w:i/>
        </w:rPr>
        <w:t xml:space="preserve"> </w:t>
      </w:r>
      <w:r>
        <w:rPr>
          <w:i/>
        </w:rPr>
        <w:t xml:space="preserve">testing indices could be roughly grouped into three overlapping categories: Bayes factors, posterior indices and Region of Practical Equivalence (ROPE)-based indices. Bayes factors are a family of indices of relative evidence of one model over another [e.g., the null* vs. *the alternative hypothesis;</w:t>
      </w:r>
      <w:r>
        <w:rPr>
          <w:i/>
        </w:rPr>
        <w:t xml:space="preserve"> </w:t>
      </w:r>
      <w:r>
        <w:rPr>
          <w:i/>
        </w:rPr>
        <w:t xml:space="preserve">Jeffreys (1998)</w:t>
      </w:r>
      <w:r>
        <w:rPr>
          <w:i/>
        </w:rPr>
        <w:t xml:space="preserve">;</w:t>
      </w:r>
      <w:r>
        <w:rPr>
          <w:i/>
        </w:rPr>
        <w:t xml:space="preserve"> </w:t>
      </w:r>
      <w:r>
        <w:rPr>
          <w:i/>
        </w:rPr>
        <w:t xml:space="preserve">Ly, Verhagen, &amp; Wagenmakers (2016)</w:t>
      </w:r>
      <w:r>
        <w:rPr>
          <w:i/>
        </w:rPr>
        <w:t xml:space="preserve">]. Aside from having a straightforward interpretation (</w:t>
      </w:r>
      <w:r>
        <w:rPr>
          <w:i/>
        </w:rPr>
        <w:t xml:space="preserve">“</w:t>
      </w:r>
      <w:r>
        <w:rPr>
          <w:i/>
        </w:rPr>
        <w:t xml:space="preserve">given the observed data, is the null hypothesis of an absence of an effect more, or less likely?</w:t>
      </w:r>
      <w:r>
        <w:rPr>
          <w:i/>
        </w:rPr>
        <w:t xml:space="preserve">”</w:t>
      </w:r>
      <w:r>
        <w:rPr>
          <w:i/>
        </w:rPr>
        <w:t xml:space="preserve">), they allow to quantify the evidence in favor of the null hypothesis</w:t>
      </w:r>
      <w:r>
        <w:rPr>
          <w:i/>
        </w:rPr>
        <w:t xml:space="preserve"> </w:t>
      </w:r>
      <w:r>
        <w:rPr>
          <w:i/>
        </w:rPr>
        <w:t xml:space="preserve">(Dienes, 2014; Jarosz &amp; Wiley, 2014)</w:t>
      </w:r>
      <w:r>
        <w:rPr>
          <w:i/>
        </w:rPr>
        <w:t xml:space="preserve">. However, its use for parameters description in complex models is still a matter of debate</w:t>
      </w:r>
      <w:r>
        <w:rPr>
          <w:i/>
        </w:rPr>
        <w:t xml:space="preserve"> </w:t>
      </w:r>
      <w:r>
        <w:rPr>
          <w:i/>
        </w:rPr>
        <w:t xml:space="preserve">(Heck, 2019; Wagenmakers, Lodewyckx, Kuriyal, &amp; Grasman, 2010)</w:t>
      </w:r>
      <w:r>
        <w:rPr>
          <w:i/>
        </w:rPr>
        <w:t xml:space="preserve">, being highly dependent on the specification of priors</w:t>
      </w:r>
      <w:r>
        <w:rPr>
          <w:i/>
        </w:rPr>
        <w:t xml:space="preserve"> </w:t>
      </w:r>
      <w:r>
        <w:rPr>
          <w:i/>
        </w:rPr>
        <w:t xml:space="preserve">(Etz, Haaf, Rouder, &amp; Vandekerckhove, 2018; Kruschke &amp; Liddell, 2018)</w:t>
      </w:r>
      <w:r>
        <w:rPr>
          <w:i/>
        </w:rPr>
        <w:t xml:space="preserve">. On the contrary,</w:t>
      </w:r>
      <w:r>
        <w:rPr>
          <w:i/>
        </w:rPr>
        <w:t xml:space="preserve"> </w:t>
      </w:r>
      <w:r>
        <w:rPr>
          <w:i/>
        </w:rPr>
        <w:t xml:space="preserve">“</w:t>
      </w:r>
      <w:r>
        <w:rPr>
          <w:i/>
        </w:rPr>
        <w:t xml:space="preserve">posterior indices</w:t>
      </w:r>
      <w:r>
        <w:rPr>
          <w:i/>
        </w:rPr>
        <w:t xml:space="preserve">”</w:t>
      </w:r>
      <w:r>
        <w:rPr>
          <w:i/>
        </w:rPr>
        <w:t xml:space="preserve"> </w:t>
      </w:r>
      <w:r>
        <w:rPr>
          <w:i/>
        </w:rPr>
        <w:t xml:space="preserve">reflect objective characteristics of the posterior distribution, for instance the proportion of strictly positive values. They also allow to derive legitimate statements that indicate the probability of an effect falling in a given range similar to the misleading conclusions related to frequentist confidence intervals. Finally, ROPE-based indices are related to the redefinition of the null hypothesis from the classic point-null hypothesis to a range of values considered negligible or too small to be of any practical relevance</w:t>
      </w:r>
      <w:r>
        <w:rPr>
          <w:i/>
        </w:rPr>
        <w:t xml:space="preserve"> </w:t>
      </w:r>
      <w:r>
        <w:rPr>
          <w:i/>
        </w:rPr>
        <w:t xml:space="preserve">(the Region of Practical Equivalence - ROPE; Kruschke, 2014; Lakens, 2017; Lakens, Scheel, &amp; Isager, 2018)</w:t>
      </w:r>
      <w:r>
        <w:rPr>
          <w:i/>
        </w:rPr>
        <w:t xml:space="preserve">, usually spread equally around 0 (e.g., [-0.1; 0.1]). The idea behind this index is that an effect is almost never exactly zero, but instead can be very tiny, with no practical relevance. It is interesting to note that this perspective unites significance testing with the focus on effect size (involving a discrete separation between at least two categories: negligible and non-negligible), which finds an echo in recent statistical recommendations</w:t>
      </w:r>
      <w:r>
        <w:rPr>
          <w:i/>
        </w:rPr>
        <w:t xml:space="preserve"> </w:t>
      </w:r>
      <w:r>
        <w:rPr>
          <w:i/>
        </w:rPr>
        <w:t xml:space="preserve">(Ellis &amp; Steyn, 2003; Simonsohn, Nelson, &amp; Simmons, 2014; Sullivan &amp; Feinn, 2012)</w:t>
      </w:r>
      <w:r>
        <w:rPr>
          <w:i/>
        </w:rP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1" w:name="methods"/>
      <w:r>
        <w:t xml:space="preserve">Methods</w:t>
      </w:r>
      <w:bookmarkEnd w:id="21"/>
    </w:p>
    <w:p>
      <w:pPr>
        <w:pStyle w:val="Heading2"/>
      </w:pPr>
      <w:bookmarkStart w:id="22" w:name="data-simulation"/>
      <w:r>
        <w:t xml:space="preserve">Data Simulation</w:t>
      </w:r>
      <w:bookmarkEnd w:id="22"/>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w:t>
      </w:r>
      <w:r>
        <w:t xml:space="preserve"> </w:t>
      </w:r>
      <w:r>
        <w:rPr>
          <w:b/>
        </w:rPr>
        <w:t xml:space="preserve">Finally, a Gaussian noise (the error) was added to the x variable before its standardization, which in turn decreases the standardized coefficient (the effect size)</w:t>
      </w:r>
      <w:r>
        <w:t xml:space="preserve">.</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3">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4" w:name="indices"/>
      <w:r>
        <w:t xml:space="preserve">Indices</w:t>
      </w:r>
      <w:bookmarkEnd w:id="24"/>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(see</w:t>
      </w:r>
      <w:r>
        <w:t xml:space="preserve"> </w:t>
      </w:r>
      <w:r>
        <w:rPr>
          <w:b/>
        </w:rPr>
        <w:t xml:space="preserve">Figure 1</w:t>
      </w:r>
      <w:r>
        <w:t xml:space="preserve">), related to the effect of</w:t>
      </w:r>
      <w:r>
        <w:t xml:space="preserve"> </w:t>
      </w:r>
      <w:r>
        <w:rPr>
          <w:i/>
        </w:rPr>
        <w:t xml:space="preserve">x</w:t>
      </w:r>
      <w:r>
        <w:t xml:space="preserve">.</w:t>
      </w:r>
    </w:p>
    <w:p>
      <w:pPr>
        <w:pStyle w:val="Heading3"/>
      </w:pPr>
      <w:bookmarkStart w:id="25" w:name="frequentist-p-value"/>
      <w:r>
        <w:t xml:space="preserve">Frequentist</w:t>
      </w:r>
      <w:r>
        <w:t xml:space="preserve"> </w:t>
      </w:r>
      <w:r>
        <w:rPr>
          <w:i/>
        </w:rPr>
        <w:t xml:space="preserve">p</w:t>
      </w:r>
      <w:r>
        <w:t xml:space="preserve">-value</w:t>
      </w:r>
      <w:bookmarkEnd w:id="25"/>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6" w:name="probability-of-direction-pd"/>
      <w:r>
        <w:t xml:space="preserve">Probability of Direction (</w:t>
      </w:r>
      <w:r>
        <w:rPr>
          <w:i/>
        </w:rPr>
        <w:t xml:space="preserve">pd</w:t>
      </w:r>
      <w:r>
        <w:t xml:space="preserve">)</w:t>
      </w:r>
      <w:bookmarkEnd w:id="26"/>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7" w:name="map-based-p-value"/>
      <w:r>
        <w:t xml:space="preserve">MAP-based</w:t>
      </w:r>
      <w:r>
        <w:t xml:space="preserve"> </w:t>
      </w:r>
      <w:r>
        <w:rPr>
          <w:i/>
        </w:rPr>
        <w:t xml:space="preserve">p</w:t>
      </w:r>
      <w:r>
        <w:t xml:space="preserve">-value</w:t>
      </w:r>
      <w:bookmarkEnd w:id="27"/>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 i.e., the equivalent of the mode for continuous distributions.</w:t>
      </w:r>
    </w:p>
    <w:p>
      <w:pPr>
        <w:pStyle w:val="Heading3"/>
      </w:pPr>
      <w:bookmarkStart w:id="28" w:name="rope-95"/>
      <w:r>
        <w:t xml:space="preserve">ROPE (95%)</w:t>
      </w:r>
      <w:bookmarkEnd w:id="28"/>
    </w:p>
    <w:p>
      <w:pPr>
        <w:pStyle w:val="FirstParagraph"/>
      </w:pPr>
      <w:r>
        <w:t xml:space="preserve">The</w:t>
      </w:r>
      <w:r>
        <w:t xml:space="preserve"> </w:t>
      </w:r>
      <w:r>
        <w:rPr>
          <w:i/>
        </w:rPr>
        <w:t xml:space="preserve">ROPE (95%)</w:t>
      </w:r>
      <w:r>
        <w:t xml:space="preserve"> </w:t>
      </w:r>
      <w:r>
        <w:t xml:space="preserve">refers to the percentage of the 95% Highest Density Interval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ad>
          <m:radPr>
            <m:degHide m:val="1"/>
          </m:radPr>
          <m:deg/>
          <m:e>
            <m:r>
              <m:t>3</m:t>
            </m:r>
          </m:e>
        </m:rad>
      </m:oMath>
      <w:r>
        <w:t xml:space="preserve"> </w:t>
      </w:r>
      <w:r>
        <w:t xml:space="preserve">formula to convert log odds ratios to standardized differences; Cohen, 1988)</w:t>
      </w:r>
      <w:r>
        <w:t xml:space="preserve">.</w:t>
      </w:r>
      <w:r>
        <w:t xml:space="preserve"> </w:t>
      </w:r>
      <w:r>
        <w:rPr>
          <w:i/>
        </w:rPr>
        <w:t xml:space="preserve">Although we present the</w:t>
      </w:r>
      <w:r>
        <w:rPr>
          <w:i/>
        </w:rPr>
        <w:t xml:space="preserve"> </w:t>
      </w:r>
      <w:r>
        <w:rPr>
          <w:i/>
        </w:rPr>
        <w:t xml:space="preserve">“</w:t>
      </w:r>
      <w:r>
        <w:rPr>
          <w:i/>
        </w:rPr>
        <w:t xml:space="preserve">95% percentage</w:t>
      </w:r>
      <w:r>
        <w:rPr>
          <w:i/>
        </w:rPr>
        <w:t xml:space="preserve">”</w:t>
      </w:r>
      <w:r>
        <w:rPr>
          <w:i/>
        </w:rPr>
        <w:t xml:space="preserve"> </w:t>
      </w:r>
      <w:r>
        <w:rPr>
          <w:i/>
        </w:rPr>
        <w:t xml:space="preserve">because of the history of this index and of its widespread use, the reader should note that this value was recently challenged due to its arbitrary</w:t>
      </w:r>
      <w:r>
        <w:rPr>
          <w:i/>
        </w:rPr>
        <w:t xml:space="preserve"> </w:t>
      </w:r>
      <w:r>
        <w:rPr>
          <w:i/>
        </w:rPr>
        <w:t xml:space="preserve">(McElreath, 2018)</w:t>
      </w:r>
      <w:r>
        <w:rPr>
          <w:i/>
        </w:rPr>
        <w:t xml:space="preserve">.</w:t>
      </w:r>
    </w:p>
    <w:p>
      <w:pPr>
        <w:pStyle w:val="Heading3"/>
      </w:pPr>
      <w:bookmarkStart w:id="29" w:name="rope-full"/>
      <w:r>
        <w:t xml:space="preserve">ROPE (full)</w:t>
      </w:r>
      <w:bookmarkEnd w:id="29"/>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0" w:name="bayes-factor-vs.-0"/>
      <w:r>
        <w:t xml:space="preserve">Bayes factor (</w:t>
      </w:r>
      <w:r>
        <w:rPr>
          <w:i/>
        </w:rPr>
        <w:t xml:space="preserve">vs.</w:t>
      </w:r>
      <w:r>
        <w:t xml:space="preserve"> </w:t>
      </w:r>
      <w:r>
        <w:t xml:space="preserve">0)</w:t>
      </w:r>
      <w:bookmarkEnd w:id="30"/>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1" w:name="bayes-factor-vs.-rope"/>
      <w:r>
        <w:t xml:space="preserve">Bayes factor (</w:t>
      </w:r>
      <w:r>
        <w:rPr>
          <w:i/>
        </w:rPr>
        <w:t xml:space="preserve">vs.</w:t>
      </w:r>
      <w:r>
        <w:t xml:space="preserve"> </w:t>
      </w:r>
      <w:r>
        <w:t xml:space="preserve">ROPE)</w:t>
      </w:r>
      <w:bookmarkEnd w:id="31"/>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but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CaptionedFigure"/>
      </w:pPr>
      <w:r>
        <w:drawing>
          <wp:inline>
            <wp:extent cx="6197600" cy="4382141"/>
            <wp:effectExtent b="0" l="0" r="0" t="0"/>
            <wp:docPr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title="" id="1" name="Picture"/>
            <a:graphic>
              <a:graphicData uri="http://schemas.openxmlformats.org/drawingml/2006/picture">
                <pic:pic>
                  <pic:nvPicPr>
                    <pic:cNvPr descr="figures/Figure1.png" id="0" name="Picture"/>
                    <pic:cNvPicPr>
                      <a:picLocks noChangeArrowheads="1" noChangeAspect="1"/>
                    </pic:cNvPicPr>
                  </pic:nvPicPr>
                  <pic:blipFill>
                    <a:blip r:embed="rId32"/>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1</w:t>
      </w:r>
      <w:r>
        <w:t xml:space="preserve">. Bayesian indices of effect existence and significance. (A) The Probability of Direction (</w:t>
      </w:r>
      <w:r>
        <w:rPr>
          <w:i/>
        </w:rPr>
        <w:t xml:space="preserve">pd</w:t>
      </w:r>
      <w:r>
        <w:t xml:space="preserve">) is defined as the proportion of the posterior distribution that is of the median’s sign (the size of the yellow area relative to the whole distribution). (B) The MAP-based</w:t>
      </w:r>
      <w:r>
        <w:t xml:space="preserve"> </w:t>
      </w:r>
      <w:r>
        <w:rPr>
          <w:i/>
        </w:rPr>
        <w:t xml:space="preserve">p</w:t>
      </w:r>
      <w:r>
        <w:t xml:space="preserve">-value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Pr>
          <w:i/>
        </w:rPr>
        <w:t xml:space="preserve">full</w:t>
      </w:r>
      <w:r>
        <w:t xml:space="preserve">) and ROPE (</w:t>
      </w:r>
      <w:r>
        <w:rPr>
          <w:i/>
        </w:rPr>
        <w:t xml:space="preserve">95%</w:t>
      </w:r>
      <w:r>
        <w:t xml:space="preserve">),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pPr>
        <w:pStyle w:val="Heading2"/>
      </w:pPr>
      <w:bookmarkStart w:id="33" w:name="data-analysis"/>
      <w:r>
        <w:t xml:space="preserve">Data Analysis</w:t>
      </w:r>
      <w:bookmarkEnd w:id="33"/>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w:t>
      </w:r>
      <w:r>
        <w:t xml:space="preserve"> </w:t>
      </w:r>
      <w:r>
        <w:rPr>
          <w:i/>
        </w:rPr>
        <w:t xml:space="preserve">p</w:t>
      </w:r>
      <w:r>
        <w:t xml:space="preserve">-value and its commonly used thresholds (.05, .01, .001). Finally, we will show the mutual relationship between three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5177"/>
            <wp:effectExtent b="0" l="0" r="0" t="0"/>
            <wp:docPr descr="Figure 2.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2.png" id="0" name="Picture"/>
                    <pic:cNvPicPr>
                      <a:picLocks noChangeArrowheads="1" noChangeAspect="1"/>
                    </pic:cNvPicPr>
                  </pic:nvPicPr>
                  <pic:blipFill>
                    <a:blip r:embed="rId36"/>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rPr>
          <w:b/>
        </w:rPr>
        <w:t xml:space="preserve">Figure 2</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2</w:t>
      </w:r>
      <w:r>
        <w:t xml:space="preserve"> </w:t>
      </w:r>
      <w:r>
        <w:t xml:space="preserve">shows the sensitivity of the indices to sample size.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2</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and</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4661"/>
            <wp:effectExtent b="0" l="0" r="0" t="0"/>
            <wp:docPr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3.png" id="0" name="Picture"/>
                    <pic:cNvPicPr>
                      <a:picLocks noChangeArrowheads="1" noChangeAspect="1"/>
                    </pic:cNvPicPr>
                  </pic:nvPicPr>
                  <pic:blipFill>
                    <a:blip r:embed="rId38"/>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3</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3</w:t>
      </w:r>
      <w:r>
        <w:t xml:space="preserve"> </w:t>
      </w:r>
      <w:r>
        <w:t xml:space="preserve">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 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seems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3</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4661"/>
            <wp:effectExtent b="0" l="0" r="0" t="0"/>
            <wp:docPr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title="" id="1" name="Picture"/>
            <a:graphic>
              <a:graphicData uri="http://schemas.openxmlformats.org/drawingml/2006/picture">
                <pic:pic>
                  <pic:nvPicPr>
                    <pic:cNvPr descr="figures/Figure4.png" id="0" name="Picture"/>
                    <pic:cNvPicPr>
                      <a:picLocks noChangeArrowheads="1" noChangeAspect="1"/>
                    </pic:cNvPicPr>
                  </pic:nvPicPr>
                  <pic:blipFill>
                    <a:blip r:embed="rId40"/>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4</w:t>
      </w:r>
      <w:r>
        <w:t xml:space="preserve">. Relationship with the frequentist</w:t>
      </w:r>
      <w:r>
        <w:t xml:space="preserve"> </w:t>
      </w:r>
      <w:r>
        <w:rPr>
          <w:i/>
        </w:rPr>
        <w:t xml:space="preserve">p</w:t>
      </w:r>
      <w:r>
        <w:t xml:space="preserve">-value. In each plot, the</w:t>
      </w:r>
      <w:r>
        <w:t xml:space="preserve"> </w:t>
      </w:r>
      <w:r>
        <w:rPr>
          <w:i/>
        </w:rPr>
        <w:t xml:space="preserve">p</w:t>
      </w:r>
      <w:r>
        <w:t xml:space="preserve">-value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 (the bigger the sample size, the higher the percentage in ROPE).</w:t>
      </w:r>
    </w:p>
    <w:p>
      <w:pPr>
        <w:pStyle w:val="BodyText"/>
      </w:pPr>
      <w:r>
        <w:rPr>
          <w:b/>
        </w:rPr>
        <w:t xml:space="preserve">Figure 4</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2141"/>
            <wp:effectExtent b="0" l="0" r="0" t="0"/>
            <wp:docPr descr="Figure 5. The probability of reaching different p-value based significance thresholds (.1, .05, .01, .001 for solid, long-dashed, short-dashed and dotted lines, respectively) for different values of the corresponding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1"/>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5</w:t>
      </w:r>
      <w:r>
        <w:t xml:space="preserve">. The probability of reaching different</w:t>
      </w:r>
      <w:r>
        <w:t xml:space="preserve"> </w:t>
      </w:r>
      <w:r>
        <w:rPr>
          <w:i/>
        </w:rPr>
        <w:t xml:space="preserve">p</w:t>
      </w:r>
      <w:r>
        <w:t xml:space="preserve">-value based significance thresholds (.1, .05, .01, .001 for solid, long-dashed, short-dashed and dotted lines, respectively) for different values of the corresponding Bayesian indices.</w:t>
      </w:r>
    </w:p>
    <w:p>
      <w:pPr>
        <w:pStyle w:val="BodyText"/>
      </w:pPr>
      <w:r>
        <w:rPr>
          <w:b/>
        </w:rPr>
        <w:t xml:space="preserve">Figure 5</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pd</w:t>
      </w:r>
      <w:r>
        <w:t xml:space="preserve"> </w:t>
      </w:r>
      <w:r>
        <w:t xml:space="preserve">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6.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6.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6</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6</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suggests that the effect exists, but a low value indicates</w:t>
      </w:r>
      <w:r>
        <w:t xml:space="preserve"> </w:t>
      </w:r>
      <w:r>
        <w:rPr>
          <w:i/>
        </w:rPr>
        <w:t xml:space="preserve">uncertainty</w:t>
      </w:r>
      <w:r>
        <w:t xml:space="preserve"> </w:t>
      </w:r>
      <w:r>
        <w:t xml:space="preserve">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1994)</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w:t>
      </w:r>
      <w:r>
        <w:t xml:space="preserve"> </w:t>
      </w:r>
      <w:r>
        <w:rPr>
          <w:i/>
        </w:rPr>
        <w:t xml:space="preserve">Interestingly, the proximity between the</w:t>
      </w:r>
      <w:r>
        <w:t xml:space="preserve"> </w:t>
      </w:r>
      <w:r>
        <w:t xml:space="preserve">pd</w:t>
      </w:r>
      <w:r>
        <w:t xml:space="preserve"> </w:t>
      </w:r>
      <w:r>
        <w:rPr>
          <w:i/>
        </w:rPr>
        <w:t xml:space="preserve">and the</w:t>
      </w:r>
      <w:r>
        <w:t xml:space="preserve"> </w:t>
      </w:r>
      <w:r>
        <w:t xml:space="preserve">p</w:t>
      </w:r>
      <w:r>
        <w:rPr>
          <w:i/>
        </w:rPr>
        <w:t xml:space="preserve">-value follows the original definition of the latter</w:t>
      </w:r>
      <w:r>
        <w:rPr>
          <w:i/>
        </w:rPr>
        <w:t xml:space="preserve"> </w:t>
      </w:r>
      <w:r>
        <w:rPr>
          <w:i/>
        </w:rPr>
        <w:t xml:space="preserve">(Fisher, 1925)</w:t>
      </w:r>
      <w:r>
        <w:rPr>
          <w:i/>
        </w:rPr>
        <w:t xml:space="preserve"> </w:t>
      </w:r>
      <w:r>
        <w:rPr>
          <w:i/>
        </w:rPr>
        <w:t xml:space="preserve">as an index of effect</w:t>
      </w:r>
      <w:r>
        <w:t xml:space="preserve"> </w:t>
      </w:r>
      <w:r>
        <w:t xml:space="preserve">existence</w:t>
      </w:r>
      <w:r>
        <w:t xml:space="preserve"> </w:t>
      </w:r>
      <w:r>
        <w:rPr>
          <w:i/>
        </w:rPr>
        <w:t xml:space="preserve">rather than</w:t>
      </w:r>
      <w:r>
        <w:t xml:space="preserve"> </w:t>
      </w:r>
      <w:r>
        <w:t xml:space="preserve">significance</w:t>
      </w:r>
      <w:r>
        <w:t xml:space="preserve"> </w:t>
      </w:r>
      <w:r>
        <w:rPr>
          <w:i/>
        </w:rPr>
        <w:t xml:space="preserve">(as in “worth of interest”; Cohen, 1994)</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5" w:name="reporting-guidelines"/>
      <w:r>
        <w:t xml:space="preserve">Reporting Guidelines</w:t>
      </w:r>
      <w:bookmarkEnd w:id="45"/>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w:t>
      </w:r>
      <m:oMath>
        <m:r>
          <m:t>B</m:t>
        </m:r>
        <m:sSub>
          <m:e>
            <m:r>
              <m:t>F</m:t>
            </m:r>
          </m:e>
          <m:sub>
            <m:r>
              <m:t>R</m:t>
            </m:r>
            <m:r>
              <m:t>O</m:t>
            </m:r>
            <m:r>
              <m:t>P</m:t>
            </m:r>
            <m:r>
              <m:t>E</m:t>
            </m:r>
          </m:sub>
        </m:sSub>
        <m:r>
          <m:t>=</m:t>
        </m:r>
        <m:r>
          <m:t>3.44</m:t>
        </m:r>
      </m:oMath>
      <w:r>
        <w:t xml:space="preserve">) [</w:t>
      </w:r>
      <w:r>
        <w:rPr>
          <w:i/>
        </w:rPr>
        <w:t xml:space="preserve">BF (vs. ROPE)</w:t>
      </w:r>
      <w:r>
        <w:t xml:space="preserve">] in favor of the presence of effect of X, which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 and significant (</w:t>
      </w:r>
      <m:oMath>
        <m:r>
          <m:t>0.82</m:t>
        </m:r>
        <m:r>
          <m:t>%</m:t>
        </m:r>
        <m:r>
          <m:rPr>
            <m:nor/>
            <m:sty m:val="p"/>
          </m:rPr>
          <m:t> in </m:t>
        </m:r>
        <m:r>
          <m:t>R</m:t>
        </m:r>
        <m:r>
          <m:t>O</m:t>
        </m:r>
        <m:r>
          <m:t>P</m:t>
        </m:r>
        <m:r>
          <m:t>E</m:t>
        </m:r>
      </m:oMath>
      <w:r>
        <w:t xml:space="preserve">) [</w:t>
      </w:r>
      <w:r>
        <w:rPr>
          <w:i/>
        </w:rPr>
        <w:t xml:space="preserve">ROPE (full)</w:t>
      </w:r>
      <w:r>
        <w:t xml:space="preserve">]</w:t>
      </w:r>
      <w:r>
        <w:t xml:space="preserve">”</w:t>
      </w:r>
      <w:r>
        <w:t xml:space="preserve">.</w:t>
      </w:r>
    </w:p>
    <w:p>
      <w:pPr>
        <w:pStyle w:val="Heading1"/>
      </w:pPr>
      <w:bookmarkStart w:id="46" w:name="data-availability"/>
      <w:r>
        <w:t xml:space="preserve">Data Availability</w:t>
      </w:r>
      <w:bookmarkEnd w:id="46"/>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ethics-statement"/>
      <w:r>
        <w:t xml:space="preserve">Ethics Statement</w:t>
      </w:r>
      <w:bookmarkEnd w:id="48"/>
    </w:p>
    <w:p>
      <w:pPr>
        <w:pStyle w:val="FirstParagraph"/>
      </w:pPr>
      <w:r>
        <w:t xml:space="preserve">No human participants, but the authors of the present manuscript, were used to produce the current study. The latter verbally reported being endowed with a feeling of free-will at the moment of writing.</w:t>
      </w:r>
    </w:p>
    <w:p>
      <w:pPr>
        <w:pStyle w:val="Heading1"/>
      </w:pPr>
      <w:bookmarkStart w:id="49" w:name="author-contributions"/>
      <w:r>
        <w:t xml:space="preserve">Author Contributions</w:t>
      </w:r>
      <w:bookmarkEnd w:id="49"/>
    </w:p>
    <w:p>
      <w:pPr>
        <w:pStyle w:val="FirstParagraph"/>
      </w:pPr>
      <w:r>
        <w:t xml:space="preserve">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pPr>
        <w:pStyle w:val="Heading1"/>
      </w:pPr>
      <w:bookmarkStart w:id="50" w:name="conflict-of-interest-statement"/>
      <w:r>
        <w:t xml:space="preserve">Conflict of Interest Statement</w:t>
      </w:r>
      <w:bookmarkEnd w:id="50"/>
    </w:p>
    <w:p>
      <w:pPr>
        <w:pStyle w:val="FirstParagraph"/>
      </w:pPr>
      <w:r>
        <w:t xml:space="preserve">The authors declare that the research was conducted in the absence of any commercial or financial relationships that could be construed as a potential conflict of interest.</w:t>
      </w:r>
    </w:p>
    <w:p>
      <w:pPr>
        <w:pStyle w:val="Heading1"/>
      </w:pPr>
      <w:bookmarkStart w:id="51" w:name="acknowledgments"/>
      <w:r>
        <w:t xml:space="preserve">Acknowledgments</w:t>
      </w:r>
      <w:bookmarkEnd w:id="51"/>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52" w:name="references"/>
      <w:r>
        <w:t xml:space="preserve">References</w:t>
      </w:r>
      <w:bookmarkEnd w:id="52"/>
    </w:p>
    <w:bookmarkStart w:id="128" w:name="refs"/>
    <w:bookmarkStart w:id="54"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3">
        <w:r>
          <w:rPr>
            <w:rStyle w:val="Hyperlink"/>
          </w:rPr>
          <w:t xml:space="preserve">https://doi.org/10.1038/d41586-019-00857-9</w:t>
        </w:r>
      </w:hyperlink>
    </w:p>
    <w:bookmarkEnd w:id="54"/>
    <w:bookmarkStart w:id="55"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5"/>
    <w:bookmarkStart w:id="56"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6"/>
    <w:bookmarkStart w:id="57"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7"/>
    <w:bookmarkStart w:id="59"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8">
        <w:r>
          <w:rPr>
            <w:rStyle w:val="Hyperlink"/>
          </w:rPr>
          <w:t xml:space="preserve">https://doi.org/10.18637/jss.v076.i01</w:t>
        </w:r>
      </w:hyperlink>
    </w:p>
    <w:bookmarkEnd w:id="59"/>
    <w:bookmarkStart w:id="60"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60"/>
    <w:bookmarkStart w:id="61" w:name="ref-cohen1988statistical"/>
    <w:p>
      <w:pPr>
        <w:pStyle w:val="Bibliography"/>
      </w:pPr>
      <w:r>
        <w:t xml:space="preserve">Cohen, J. (1988).</w:t>
      </w:r>
      <w:r>
        <w:t xml:space="preserve"> </w:t>
      </w:r>
      <w:r>
        <w:rPr>
          <w:i/>
        </w:rPr>
        <w:t xml:space="preserve">Statistical power analysis for the social sciences</w:t>
      </w:r>
      <w:r>
        <w:t xml:space="preserve">.</w:t>
      </w:r>
    </w:p>
    <w:bookmarkEnd w:id="61"/>
    <w:bookmarkStart w:id="63" w:name="ref-cohen1994earth"/>
    <w:p>
      <w:pPr>
        <w:pStyle w:val="Bibliography"/>
      </w:pPr>
      <w:r>
        <w:t xml:space="preserve">Cohen, J. (1994). The earth is round (p &lt; .05).</w:t>
      </w:r>
      <w:r>
        <w:t xml:space="preserve"> </w:t>
      </w:r>
      <w:r>
        <w:rPr>
          <w:i/>
        </w:rPr>
        <w:t xml:space="preserve">American Psychologist</w:t>
      </w:r>
      <w:r>
        <w:t xml:space="preserve">,</w:t>
      </w:r>
      <w:r>
        <w:t xml:space="preserve"> </w:t>
      </w:r>
      <w:r>
        <w:rPr>
          <w:i/>
        </w:rPr>
        <w:t xml:space="preserve">49</w:t>
      </w:r>
      <w:r>
        <w:t xml:space="preserve">(12), 997–1003.</w:t>
      </w:r>
      <w:r>
        <w:t xml:space="preserve"> </w:t>
      </w:r>
      <w:hyperlink r:id="rId62">
        <w:r>
          <w:rPr>
            <w:rStyle w:val="Hyperlink"/>
          </w:rPr>
          <w:t xml:space="preserve">https://doi.org/10.1037/0003-066x.49.12.997</w:t>
        </w:r>
      </w:hyperlink>
    </w:p>
    <w:bookmarkEnd w:id="63"/>
    <w:bookmarkStart w:id="64"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4"/>
    <w:bookmarkStart w:id="65"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5"/>
    <w:bookmarkStart w:id="66"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6"/>
    <w:bookmarkStart w:id="67"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7"/>
    <w:bookmarkStart w:id="68"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8"/>
    <w:bookmarkStart w:id="69"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9"/>
    <w:bookmarkStart w:id="70"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70"/>
    <w:bookmarkStart w:id="71"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71"/>
    <w:bookmarkStart w:id="72" w:name="ref-fisher1925"/>
    <w:p>
      <w:pPr>
        <w:pStyle w:val="Bibliography"/>
      </w:pPr>
      <w:r>
        <w:t xml:space="preserve">Fisher, R. A. (1925).</w:t>
      </w:r>
      <w:r>
        <w:t xml:space="preserve"> </w:t>
      </w:r>
      <w:r>
        <w:rPr>
          <w:i/>
        </w:rPr>
        <w:t xml:space="preserve">Statistical methods for research workers</w:t>
      </w:r>
      <w:r>
        <w:t xml:space="preserve">. Edinburgh, UK: Oliver; Boyd.</w:t>
      </w:r>
    </w:p>
    <w:bookmarkEnd w:id="72"/>
    <w:bookmarkStart w:id="73"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73"/>
    <w:bookmarkStart w:id="75"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74">
        <w:r>
          <w:rPr>
            <w:rStyle w:val="Hyperlink"/>
          </w:rPr>
          <w:t xml:space="preserve">https://doi.org/10.1177/0146167217729162</w:t>
        </w:r>
      </w:hyperlink>
    </w:p>
    <w:bookmarkEnd w:id="75"/>
    <w:bookmarkStart w:id="76"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6"/>
    <w:bookmarkStart w:id="78"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7">
        <w:r>
          <w:rPr>
            <w:rStyle w:val="Hyperlink"/>
          </w:rPr>
          <w:t xml:space="preserve">http://mc-stan.org/</w:t>
        </w:r>
      </w:hyperlink>
    </w:p>
    <w:bookmarkEnd w:id="78"/>
    <w:bookmarkStart w:id="79"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9"/>
    <w:bookmarkStart w:id="80"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80"/>
    <w:bookmarkStart w:id="81"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81"/>
    <w:bookmarkStart w:id="82" w:name="ref-jeffreys1998theory"/>
    <w:p>
      <w:pPr>
        <w:pStyle w:val="Bibliography"/>
      </w:pPr>
      <w:r>
        <w:t xml:space="preserve">Jeffreys, H. (1998).</w:t>
      </w:r>
      <w:r>
        <w:t xml:space="preserve"> </w:t>
      </w:r>
      <w:r>
        <w:rPr>
          <w:i/>
        </w:rPr>
        <w:t xml:space="preserve">The theory of probability</w:t>
      </w:r>
      <w:r>
        <w:t xml:space="preserve">. OUP Oxford.</w:t>
      </w:r>
    </w:p>
    <w:bookmarkEnd w:id="82"/>
    <w:bookmarkStart w:id="83"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83"/>
    <w:bookmarkStart w:id="84"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84"/>
    <w:bookmarkStart w:id="85"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5"/>
    <w:bookmarkStart w:id="86"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6"/>
    <w:bookmarkStart w:id="87"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7"/>
    <w:bookmarkStart w:id="88"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8"/>
    <w:bookmarkStart w:id="89"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9"/>
    <w:bookmarkStart w:id="90"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90"/>
    <w:bookmarkStart w:id="91"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91"/>
    <w:bookmarkStart w:id="93"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92">
        <w:r>
          <w:rPr>
            <w:rStyle w:val="Hyperlink"/>
          </w:rPr>
          <w:t xml:space="preserve">https://doi.org/10.21105/joss.01412</w:t>
        </w:r>
      </w:hyperlink>
    </w:p>
    <w:bookmarkEnd w:id="93"/>
    <w:bookmarkStart w:id="94"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94"/>
    <w:bookmarkStart w:id="96"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5">
        <w:r>
          <w:rPr>
            <w:rStyle w:val="Hyperlink"/>
          </w:rPr>
          <w:t xml:space="preserve">https://doi.org/10.21105/joss.01541</w:t>
        </w:r>
      </w:hyperlink>
    </w:p>
    <w:bookmarkEnd w:id="96"/>
    <w:bookmarkStart w:id="97"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7"/>
    <w:bookmarkStart w:id="98"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8"/>
    <w:bookmarkStart w:id="100" w:name="ref-mcelreath2018rethinking"/>
    <w:p>
      <w:pPr>
        <w:pStyle w:val="Bibliography"/>
      </w:pPr>
      <w:r>
        <w:t xml:space="preserve">McElreath, R. (2018).</w:t>
      </w:r>
      <w:r>
        <w:t xml:space="preserve"> </w:t>
      </w:r>
      <w:r>
        <w:rPr>
          <w:i/>
        </w:rPr>
        <w:t xml:space="preserve">Statistical rethinking</w:t>
      </w:r>
      <w:r>
        <w:t xml:space="preserve">.</w:t>
      </w:r>
      <w:r>
        <w:t xml:space="preserve"> </w:t>
      </w:r>
      <w:hyperlink r:id="rId99">
        <w:r>
          <w:rPr>
            <w:rStyle w:val="Hyperlink"/>
          </w:rPr>
          <w:t xml:space="preserve">https://doi.org/10.1201/9781315372495</w:t>
        </w:r>
      </w:hyperlink>
    </w:p>
    <w:bookmarkEnd w:id="100"/>
    <w:bookmarkStart w:id="101"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101"/>
    <w:bookmarkStart w:id="102"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102"/>
    <w:bookmarkStart w:id="103"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103"/>
    <w:bookmarkStart w:id="105" w:name="ref-Nuzzo_2014"/>
    <w:p>
      <w:pPr>
        <w:pStyle w:val="Bibliography"/>
      </w:pPr>
      <w:r>
        <w:t xml:space="preserve">Nuzzo, R. (2014). Scientific method: Statistical errors.</w:t>
      </w:r>
      <w:r>
        <w:t xml:space="preserve"> </w:t>
      </w:r>
      <w:r>
        <w:rPr>
          <w:i/>
        </w:rPr>
        <w:t xml:space="preserve">Nature</w:t>
      </w:r>
      <w:r>
        <w:t xml:space="preserve">,</w:t>
      </w:r>
      <w:r>
        <w:t xml:space="preserve"> </w:t>
      </w:r>
      <w:r>
        <w:rPr>
          <w:i/>
        </w:rPr>
        <w:t xml:space="preserve">506</w:t>
      </w:r>
      <w:r>
        <w:t xml:space="preserve">(7487), 150–152.</w:t>
      </w:r>
      <w:r>
        <w:t xml:space="preserve"> </w:t>
      </w:r>
      <w:hyperlink r:id="rId104">
        <w:r>
          <w:rPr>
            <w:rStyle w:val="Hyperlink"/>
          </w:rPr>
          <w:t xml:space="preserve">https://doi.org/10.1038/506150a</w:t>
        </w:r>
      </w:hyperlink>
    </w:p>
    <w:bookmarkEnd w:id="105"/>
    <w:bookmarkStart w:id="107"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106">
        <w:r>
          <w:rPr>
            <w:rStyle w:val="Hyperlink"/>
          </w:rPr>
          <w:t xml:space="preserve">https://www.R-project.org/</w:t>
        </w:r>
      </w:hyperlink>
    </w:p>
    <w:bookmarkEnd w:id="107"/>
    <w:bookmarkStart w:id="108"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108"/>
    <w:bookmarkStart w:id="109"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9"/>
    <w:bookmarkStart w:id="110"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10"/>
    <w:bookmarkStart w:id="111"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11"/>
    <w:bookmarkStart w:id="112"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12"/>
    <w:bookmarkStart w:id="114"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13">
        <w:r>
          <w:rPr>
            <w:rStyle w:val="Hyperlink"/>
          </w:rPr>
          <w:t xml:space="preserve">https://doi.org/10.1177/0956797611417632</w:t>
        </w:r>
      </w:hyperlink>
    </w:p>
    <w:bookmarkEnd w:id="114"/>
    <w:bookmarkStart w:id="115"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15"/>
    <w:bookmarkStart w:id="116"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16"/>
    <w:bookmarkStart w:id="117"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17"/>
    <w:bookmarkStart w:id="118"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18"/>
    <w:bookmarkStart w:id="119"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9"/>
    <w:bookmarkStart w:id="120"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20"/>
    <w:bookmarkStart w:id="122" w:name="ref-wagenmakers2015another"/>
    <w:p>
      <w:pPr>
        <w:pStyle w:val="Bibliography"/>
      </w:pPr>
      <w:r>
        <w:t xml:space="preserve">Wagenmakers, E.-J., Lee, M., Rouder, J., &amp; Morey, R. (2019, August). Another statistical paradox. Retrieved from</w:t>
      </w:r>
      <w:r>
        <w:t xml:space="preserve"> </w:t>
      </w:r>
      <w:hyperlink r:id="rId121">
        <w:r>
          <w:rPr>
            <w:rStyle w:val="Hyperlink"/>
          </w:rPr>
          <w:t xml:space="preserve">http://www.ejwagenmakers.com/submitted/AnotherStatisticalParadox.pdf</w:t>
        </w:r>
      </w:hyperlink>
    </w:p>
    <w:bookmarkEnd w:id="122"/>
    <w:bookmarkStart w:id="123"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23"/>
    <w:bookmarkStart w:id="124"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24"/>
    <w:bookmarkStart w:id="125"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25"/>
    <w:bookmarkStart w:id="126"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26"/>
    <w:bookmarkStart w:id="127"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27"/>
    <w:bookmarkEnd w:id="128"/>
    <w:sectPr w:rsidR="0088513A" w:rsidRPr="0088513A" w:rsidSect="009C0FF2">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F0F9209" w:rsidR="00686C9D" w:rsidRPr="009C0FF2" w:rsidRDefault="00C52A7B" w:rsidP="00A53000">
    <w:pPr>
      <w:pStyle w:val="Header"/>
      <w:rPr>
        <w:lang w:val="en-GB"/>
      </w:rPr>
    </w:pPr>
    <w:r w:rsidRPr="007E3148">
      <w:ptab w:relativeTo="margin" w:alignment="center" w:leader="none"/>
    </w:r>
    <w:r w:rsidRPr="007E3148">
      <w:ptab w:relativeTo="margin" w:alignment="right" w:leader="none"/>
    </w:r>
    <w:r w:rsidR="009C0FF2">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3AC3F061" w:rsidR="00686C9D" w:rsidRPr="00A53000" w:rsidRDefault="00C52A7B" w:rsidP="00A53000">
    <w:pPr>
      <w:pStyle w:val="Header"/>
    </w:pPr>
    <w:r w:rsidRPr="007E3148">
      <w:ptab w:relativeTo="margin" w:alignment="center" w:leader="none"/>
    </w:r>
    <w:r w:rsidRPr="007E3148">
      <w:ptab w:relativeTo="margin" w:alignment="right" w:leader="none"/>
    </w:r>
    <w:r w:rsidR="009C0FF2">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7" Target="http://mc-stan.org/" TargetMode="External" /><Relationship Type="http://schemas.openxmlformats.org/officeDocument/2006/relationships/hyperlink" Id="rId121"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104" Target="https://doi.org/10.1038/506150a" TargetMode="External" /><Relationship Type="http://schemas.openxmlformats.org/officeDocument/2006/relationships/hyperlink" Id="rId53" Target="https://doi.org/10.1038/d41586-019-00857-9" TargetMode="External" /><Relationship Type="http://schemas.openxmlformats.org/officeDocument/2006/relationships/hyperlink" Id="rId74" Target="https://doi.org/10.1177/0146167217729162" TargetMode="External" /><Relationship Type="http://schemas.openxmlformats.org/officeDocument/2006/relationships/hyperlink" Id="rId113" Target="https://doi.org/10.1177/0956797611417632" TargetMode="External" /><Relationship Type="http://schemas.openxmlformats.org/officeDocument/2006/relationships/hyperlink" Id="rId99"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2" Target="https://doi.org/10.21105/joss.01412" TargetMode="External" /><Relationship Type="http://schemas.openxmlformats.org/officeDocument/2006/relationships/hyperlink" Id="rId95"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6"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7" Target="http://mc-stan.org/" TargetMode="External" /><Relationship Type="http://schemas.openxmlformats.org/officeDocument/2006/relationships/hyperlink" Id="rId121"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104" Target="https://doi.org/10.1038/506150a" TargetMode="External" /><Relationship Type="http://schemas.openxmlformats.org/officeDocument/2006/relationships/hyperlink" Id="rId53" Target="https://doi.org/10.1038/d41586-019-00857-9" TargetMode="External" /><Relationship Type="http://schemas.openxmlformats.org/officeDocument/2006/relationships/hyperlink" Id="rId74" Target="https://doi.org/10.1177/0146167217729162" TargetMode="External" /><Relationship Type="http://schemas.openxmlformats.org/officeDocument/2006/relationships/hyperlink" Id="rId113" Target="https://doi.org/10.1177/0956797611417632" TargetMode="External" /><Relationship Type="http://schemas.openxmlformats.org/officeDocument/2006/relationships/hyperlink" Id="rId99"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2" Target="https://doi.org/10.21105/joss.01412" TargetMode="External" /><Relationship Type="http://schemas.openxmlformats.org/officeDocument/2006/relationships/hyperlink" Id="rId95"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6"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12</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2019-10-30T01:39:28Z</dcterms:created>
  <dcterms:modified xsi:type="dcterms:W3CDTF">2019-10-30T01:39:28Z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